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center"/>
        <w:rPr>
          <w:rFonts w:ascii="Garamond" w:hAnsi="Garamond" w:cs="Garamond" w:eastAsia="Garamond"/>
          <w:b/>
          <w:color w:val="auto"/>
          <w:spacing w:val="0"/>
          <w:position w:val="0"/>
          <w:sz w:val="28"/>
          <w:shd w:fill="auto" w:val="clear"/>
        </w:rPr>
      </w:pPr>
      <w:r>
        <w:rPr>
          <w:rFonts w:ascii="Garamond" w:hAnsi="Garamond" w:cs="Garamond" w:eastAsia="Garamond"/>
          <w:b/>
          <w:color w:val="auto"/>
          <w:spacing w:val="0"/>
          <w:position w:val="0"/>
          <w:sz w:val="28"/>
          <w:shd w:fill="auto" w:val="clear"/>
        </w:rPr>
        <w:t xml:space="preserve">La Giunta della Camera Penale di Napoli</w:t>
      </w:r>
    </w:p>
    <w:p>
      <w:pPr>
        <w:spacing w:before="0" w:after="0" w:line="480"/>
        <w:ind w:right="0" w:left="0" w:firstLine="0"/>
        <w:jc w:val="both"/>
        <w:rPr>
          <w:rFonts w:ascii="Garamond" w:hAnsi="Garamond" w:cs="Garamond" w:eastAsia="Garamond"/>
          <w:color w:val="auto"/>
          <w:spacing w:val="0"/>
          <w:position w:val="0"/>
          <w:sz w:val="28"/>
          <w:shd w:fill="auto" w:val="clear"/>
        </w:rPr>
      </w:pPr>
    </w:p>
    <w:p>
      <w:pPr>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riunitasi con urgenza, in data 6/12/13, a seguito del grave episodio verificatosi in pari data innanzi ad una sezione penale del Tribunale di Napoli, laddove, nell’ambito di un processo in corso di celebrazione per gravi reati, un’istanza difensiva, diretta ad ottenere l’autorizzazione per l’accesso alla struttura penitenziaria di uno specialista, al fine di sottoporre a visita il detenuto posto al regime detentivo speciale previsto dall’art. 41 </w:t>
      </w:r>
      <w:r>
        <w:rPr>
          <w:rFonts w:ascii="Garamond" w:hAnsi="Garamond" w:cs="Garamond" w:eastAsia="Garamond"/>
          <w:i/>
          <w:color w:val="auto"/>
          <w:spacing w:val="0"/>
          <w:position w:val="0"/>
          <w:sz w:val="28"/>
          <w:shd w:fill="auto" w:val="clear"/>
        </w:rPr>
        <w:t xml:space="preserve">bis</w:t>
      </w:r>
      <w:r>
        <w:rPr>
          <w:rFonts w:ascii="Garamond" w:hAnsi="Garamond" w:cs="Garamond" w:eastAsia="Garamond"/>
          <w:color w:val="auto"/>
          <w:spacing w:val="0"/>
          <w:position w:val="0"/>
          <w:sz w:val="28"/>
          <w:shd w:fill="auto" w:val="clear"/>
        </w:rPr>
        <w:t xml:space="preserve"> dell’ordinamento penitenziario – istituto della cui legittimità costituzionale pur si discute, per le evidenti compressioni dei diritti fondamentali della persona che di fatto determina - veniva rigettata con una motivazione palesemente incondivisibile.</w:t>
      </w:r>
    </w:p>
    <w:p>
      <w:pPr>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Ed invero, nella motivazione citata si leggevano gravissime, oltreché gratuite ed allusive affermazioni, quali </w:t>
      </w:r>
      <w:r>
        <w:rPr>
          <w:rFonts w:ascii="Garamond" w:hAnsi="Garamond" w:cs="Garamond" w:eastAsia="Garamond"/>
          <w:b/>
          <w:i/>
          <w:color w:val="auto"/>
          <w:spacing w:val="0"/>
          <w:position w:val="0"/>
          <w:sz w:val="28"/>
          <w:shd w:fill="auto" w:val="clear"/>
        </w:rPr>
        <w:t xml:space="preserve">“… la richiesta reiterata di accesso di una molteplicità di sanitari - in sé sospetta </w:t>
      </w:r>
      <w:r>
        <w:rPr>
          <w:rFonts w:ascii="Garamond" w:hAnsi="Garamond" w:cs="Garamond" w:eastAsia="Garamond"/>
          <w:b/>
          <w:color w:val="auto"/>
          <w:spacing w:val="0"/>
          <w:position w:val="0"/>
          <w:sz w:val="28"/>
          <w:shd w:fill="auto" w:val="clear"/>
        </w:rPr>
        <w:t xml:space="preserve">…”, </w:t>
      </w:r>
      <w:r>
        <w:rPr>
          <w:rFonts w:ascii="Garamond" w:hAnsi="Garamond" w:cs="Garamond" w:eastAsia="Garamond"/>
          <w:b/>
          <w:i/>
          <w:color w:val="auto"/>
          <w:spacing w:val="0"/>
          <w:position w:val="0"/>
          <w:sz w:val="28"/>
          <w:shd w:fill="auto" w:val="clear"/>
        </w:rPr>
        <w:t xml:space="preserve">“… la possibilità di un utilizzo strumentale di detti sanitari quali soggetti portatori all’esterno – anche inconsapevoli – di messaggi criptati o di comunicazioni o segnali comunque di natura criminosa …</w:t>
      </w:r>
      <w:r>
        <w:rPr>
          <w:rFonts w:ascii="Garamond" w:hAnsi="Garamond" w:cs="Garamond" w:eastAsia="Garamond"/>
          <w:b/>
          <w:color w:val="auto"/>
          <w:spacing w:val="0"/>
          <w:position w:val="0"/>
          <w:sz w:val="28"/>
          <w:shd w:fill="auto" w:val="clear"/>
        </w:rPr>
        <w:t xml:space="preserve">”</w:t>
      </w:r>
      <w:r>
        <w:rPr>
          <w:rFonts w:ascii="Garamond" w:hAnsi="Garamond" w:cs="Garamond" w:eastAsia="Garamond"/>
          <w:color w:val="auto"/>
          <w:spacing w:val="0"/>
          <w:position w:val="0"/>
          <w:sz w:val="28"/>
          <w:shd w:fill="auto" w:val="clear"/>
        </w:rPr>
        <w:t xml:space="preserve">;</w:t>
      </w:r>
    </w:p>
    <w:p>
      <w:pPr>
        <w:spacing w:before="0" w:after="0" w:line="480"/>
        <w:ind w:right="0" w:left="0" w:firstLine="0"/>
        <w:jc w:val="center"/>
        <w:rPr>
          <w:rFonts w:ascii="Garamond" w:hAnsi="Garamond" w:cs="Garamond" w:eastAsia="Garamond"/>
          <w:color w:val="auto"/>
          <w:spacing w:val="0"/>
          <w:position w:val="0"/>
          <w:sz w:val="28"/>
          <w:shd w:fill="auto" w:val="clear"/>
        </w:rPr>
      </w:pPr>
    </w:p>
    <w:p>
      <w:pPr>
        <w:spacing w:before="0" w:after="0" w:line="480"/>
        <w:ind w:right="0" w:left="0" w:firstLine="0"/>
        <w:jc w:val="center"/>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RITENUTO</w:t>
      </w:r>
    </w:p>
    <w:p>
      <w:pPr>
        <w:spacing w:before="0" w:after="0" w:line="480"/>
        <w:ind w:right="0" w:left="720" w:firstLine="0"/>
        <w:jc w:val="both"/>
        <w:rPr>
          <w:rFonts w:ascii="Garamond" w:hAnsi="Garamond" w:cs="Garamond" w:eastAsia="Garamond"/>
          <w:color w:val="auto"/>
          <w:spacing w:val="0"/>
          <w:position w:val="0"/>
          <w:sz w:val="28"/>
          <w:shd w:fill="auto" w:val="clear"/>
        </w:rPr>
      </w:pPr>
    </w:p>
    <w:p>
      <w:pPr>
        <w:numPr>
          <w:ilvl w:val="0"/>
          <w:numId w:val="5"/>
        </w:numPr>
        <w:spacing w:before="0" w:after="0" w:line="480"/>
        <w:ind w:right="0" w:left="720" w:hanging="36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che in una società autenticamente democratica il “processo” (ovverosia le regole finalizzate esclusivamente ad accertare o meno la responsabilità di una o più persone imputate) dovrebbe essere unico e valido per tutti i cittadini;</w:t>
      </w:r>
    </w:p>
    <w:p>
      <w:pPr>
        <w:numPr>
          <w:ilvl w:val="0"/>
          <w:numId w:val="5"/>
        </w:numPr>
        <w:spacing w:before="0" w:after="0" w:line="480"/>
        <w:ind w:right="0" w:left="720" w:hanging="36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che, di contro - in processi già regolamentati da disposizioni eccezionali che hanno, di fatto, operato una separazione tra il processo destinato ai cittadini comuni ed uno “speciale” destinato a coloro i quali, a seconda delle emergenze, vengono, di volta in volta, presuntivamente individuati come “nemici” – si comprimono sempre più, in modo intollerabile, i diritti della difesa;</w:t>
      </w:r>
    </w:p>
    <w:p>
      <w:pPr>
        <w:numPr>
          <w:ilvl w:val="0"/>
          <w:numId w:val="5"/>
        </w:numPr>
        <w:spacing w:before="0" w:after="0" w:line="480"/>
        <w:ind w:right="0" w:left="720" w:hanging="36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che il grave episodio costituisce l’ennesima riprova di una “cultura del sospetto” posta in essere, </w:t>
      </w:r>
      <w:r>
        <w:rPr>
          <w:rFonts w:ascii="Garamond" w:hAnsi="Garamond" w:cs="Garamond" w:eastAsia="Garamond"/>
          <w:i/>
          <w:color w:val="auto"/>
          <w:spacing w:val="0"/>
          <w:position w:val="0"/>
          <w:sz w:val="28"/>
          <w:shd w:fill="auto" w:val="clear"/>
        </w:rPr>
        <w:t xml:space="preserve">per tabulas, </w:t>
      </w:r>
      <w:r>
        <w:rPr>
          <w:rFonts w:ascii="Garamond" w:hAnsi="Garamond" w:cs="Garamond" w:eastAsia="Garamond"/>
          <w:color w:val="auto"/>
          <w:spacing w:val="0"/>
          <w:position w:val="0"/>
          <w:sz w:val="28"/>
          <w:shd w:fill="auto" w:val="clear"/>
        </w:rPr>
        <w:t xml:space="preserve">non già da una parte, per quanto pubblica, quale il P.M.,  ma addirittura da magistrati chiamati ad esercitare la funzione giudicante con terzietà ed indipendenza da ogni condizionamento anche culturale;</w:t>
      </w:r>
    </w:p>
    <w:p>
      <w:pPr>
        <w:spacing w:before="0" w:after="0" w:line="480"/>
        <w:ind w:right="0" w:left="0" w:firstLine="0"/>
        <w:jc w:val="both"/>
        <w:rPr>
          <w:rFonts w:ascii="Garamond" w:hAnsi="Garamond" w:cs="Garamond" w:eastAsia="Garamond"/>
          <w:color w:val="auto"/>
          <w:spacing w:val="0"/>
          <w:position w:val="0"/>
          <w:sz w:val="28"/>
          <w:shd w:fill="auto" w:val="clear"/>
        </w:rPr>
      </w:pPr>
    </w:p>
    <w:p>
      <w:pPr>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ritenuta intollerabile, in relazione ad un legislazione già ai limiti delle censure costituzionali, un’interpretazione non soltanto ancor più restrittiva ma, addirittura, intrisa di indimostrati sospetti nei confronti di difensori e consulenti;  </w:t>
      </w:r>
    </w:p>
    <w:p>
      <w:pPr>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ritenuto che nella specifica vicenda processuale vi è stata una più che legittima, vibrata protesta dell’intero collegio difensivo che ha espresso piena solidarietà nei confronti del collega che aveva avanzato l’istanza nell’interesse dell’imputato;</w:t>
      </w:r>
    </w:p>
    <w:p>
      <w:pPr>
        <w:tabs>
          <w:tab w:val="left" w:pos="7908" w:leader="none"/>
        </w:tabs>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ribadita la assoluta gravità di quanto accaduto, </w:t>
        <w:tab/>
      </w:r>
    </w:p>
    <w:p>
      <w:pPr>
        <w:spacing w:before="0" w:after="0" w:line="480"/>
        <w:ind w:right="0" w:left="0" w:firstLine="0"/>
        <w:jc w:val="center"/>
        <w:rPr>
          <w:rFonts w:ascii="Garamond" w:hAnsi="Garamond" w:cs="Garamond" w:eastAsia="Garamond"/>
          <w:b/>
          <w:color w:val="auto"/>
          <w:spacing w:val="0"/>
          <w:position w:val="0"/>
          <w:sz w:val="32"/>
          <w:shd w:fill="auto" w:val="clear"/>
        </w:rPr>
      </w:pPr>
    </w:p>
    <w:p>
      <w:pPr>
        <w:spacing w:before="0" w:after="0" w:line="480"/>
        <w:ind w:right="0" w:left="0" w:firstLine="0"/>
        <w:jc w:val="center"/>
        <w:rPr>
          <w:rFonts w:ascii="Garamond" w:hAnsi="Garamond" w:cs="Garamond" w:eastAsia="Garamond"/>
          <w:b/>
          <w:color w:val="auto"/>
          <w:spacing w:val="0"/>
          <w:position w:val="0"/>
          <w:sz w:val="32"/>
          <w:shd w:fill="auto" w:val="clear"/>
        </w:rPr>
      </w:pPr>
      <w:r>
        <w:rPr>
          <w:rFonts w:ascii="Garamond" w:hAnsi="Garamond" w:cs="Garamond" w:eastAsia="Garamond"/>
          <w:b/>
          <w:color w:val="auto"/>
          <w:spacing w:val="0"/>
          <w:position w:val="0"/>
          <w:sz w:val="32"/>
          <w:shd w:fill="auto" w:val="clear"/>
        </w:rPr>
        <w:t xml:space="preserve">delibera</w:t>
      </w:r>
    </w:p>
    <w:p>
      <w:pPr>
        <w:spacing w:before="0" w:after="0" w:line="480"/>
        <w:ind w:right="0" w:left="0" w:firstLine="0"/>
        <w:jc w:val="both"/>
        <w:rPr>
          <w:rFonts w:ascii="Garamond" w:hAnsi="Garamond" w:cs="Garamond" w:eastAsia="Garamond"/>
          <w:color w:val="auto"/>
          <w:spacing w:val="0"/>
          <w:position w:val="0"/>
          <w:sz w:val="28"/>
          <w:shd w:fill="auto" w:val="clear"/>
        </w:rPr>
      </w:pPr>
    </w:p>
    <w:p>
      <w:pPr>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con effetto immediato lo stato di agitazione della classe, nella impossibilità tecnica della adozione, allo stato, di misure più gravi, stante la già proclamata, per il giorno 16 dicembre p.v., astensione dalle udienze e pone la relativa questione al primo posto dell’ordine del giorno fissato per l’assemblea generale, convocata per tale data, demandando a quella sede la adozione dei provvedimenti che si riterranno più opportuni.</w:t>
      </w:r>
    </w:p>
    <w:p>
      <w:pPr>
        <w:spacing w:before="0" w:after="0" w:line="480"/>
        <w:ind w:right="0" w:left="0" w:firstLine="0"/>
        <w:jc w:val="both"/>
        <w:rPr>
          <w:rFonts w:ascii="Garamond" w:hAnsi="Garamond" w:cs="Garamond" w:eastAsia="Garamond"/>
          <w:color w:val="auto"/>
          <w:spacing w:val="0"/>
          <w:position w:val="0"/>
          <w:sz w:val="28"/>
          <w:shd w:fill="auto" w:val="clear"/>
        </w:rPr>
      </w:pPr>
    </w:p>
    <w:p>
      <w:pPr>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Napoli, 6 dicembre 2013</w:t>
      </w:r>
    </w:p>
    <w:p>
      <w:pPr>
        <w:spacing w:before="0" w:after="0" w:line="480"/>
        <w:ind w:right="0" w:left="0" w:firstLine="0"/>
        <w:jc w:val="both"/>
        <w:rPr>
          <w:rFonts w:ascii="Garamond" w:hAnsi="Garamond" w:cs="Garamond" w:eastAsia="Garamond"/>
          <w:color w:val="auto"/>
          <w:spacing w:val="0"/>
          <w:position w:val="0"/>
          <w:sz w:val="28"/>
          <w:shd w:fill="auto" w:val="clear"/>
        </w:rPr>
      </w:pPr>
    </w:p>
    <w:p>
      <w:pPr>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Il Presidente                                                                                           Il Segretario </w:t>
      </w:r>
    </w:p>
    <w:p>
      <w:pPr>
        <w:spacing w:before="0" w:after="0" w:line="480"/>
        <w:ind w:right="0" w:left="0" w:firstLine="0"/>
        <w:jc w:val="both"/>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Avv. Domenico Ciruzzi                                                                      Avv. Alfredo Sorge</w:t>
      </w:r>
    </w:p>
    <w:p>
      <w:pPr>
        <w:spacing w:before="0" w:after="0" w:line="480"/>
        <w:ind w:right="0" w:left="0" w:firstLine="0"/>
        <w:jc w:val="left"/>
        <w:rPr>
          <w:rFonts w:ascii="Garamond" w:hAnsi="Garamond" w:cs="Garamond" w:eastAsia="Garamond"/>
          <w:color w:val="auto"/>
          <w:spacing w:val="0"/>
          <w:position w:val="0"/>
          <w:sz w:val="28"/>
          <w:shd w:fill="auto" w:val="clear"/>
        </w:rPr>
      </w:pPr>
    </w:p>
    <w:p>
      <w:pPr>
        <w:spacing w:before="0" w:after="0" w:line="480"/>
        <w:ind w:right="0" w:left="0" w:firstLine="0"/>
        <w:jc w:val="left"/>
        <w:rPr>
          <w:rFonts w:ascii="Garamond" w:hAnsi="Garamond" w:cs="Garamond" w:eastAsia="Garamond"/>
          <w:color w:val="auto"/>
          <w:spacing w:val="0"/>
          <w:position w:val="0"/>
          <w:sz w:val="28"/>
          <w:shd w:fill="auto" w:val="clear"/>
        </w:rPr>
      </w:pPr>
      <w:r>
        <w:rPr>
          <w:rFonts w:ascii="Garamond" w:hAnsi="Garamond" w:cs="Garamond" w:eastAsia="Garamond"/>
          <w:color w:val="auto"/>
          <w:spacing w:val="0"/>
          <w:position w:val="0"/>
          <w:sz w:val="28"/>
          <w:shd w:fill="auto" w:val="clear"/>
        </w:rPr>
        <w:t xml:space="preserve">La Giunta</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